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02" w:rsidRPr="00836202" w:rsidRDefault="00836202">
      <w:pPr>
        <w:rPr>
          <w:rFonts w:ascii="Garamond" w:hAnsi="Garamond"/>
          <w:b/>
          <w:sz w:val="22"/>
          <w:lang w:val="nl-NL"/>
        </w:rPr>
      </w:pPr>
      <w:bookmarkStart w:id="0" w:name="_GoBack"/>
      <w:bookmarkEnd w:id="0"/>
      <w:r w:rsidRPr="00836202">
        <w:rPr>
          <w:rFonts w:ascii="Garamond" w:hAnsi="Garamond"/>
          <w:b/>
          <w:sz w:val="22"/>
          <w:lang w:val="nl-NL"/>
        </w:rPr>
        <w:t>Keuzecursus Burgerschap en educatie:</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u w:val="single"/>
          <w:lang w:val="nl-NL" w:eastAsia="nl-NL"/>
        </w:rPr>
        <w:t>Cursusdoelen</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Na afronding van de cursus:</w:t>
      </w:r>
    </w:p>
    <w:p w:rsidR="00836202" w:rsidRPr="00836202" w:rsidRDefault="00836202" w:rsidP="00836202">
      <w:pPr>
        <w:pStyle w:val="ListParagraph"/>
        <w:numPr>
          <w:ilvl w:val="0"/>
          <w:numId w:val="17"/>
        </w:numPr>
        <w:spacing w:line="240" w:lineRule="auto"/>
        <w:rPr>
          <w:rFonts w:ascii="Garamond" w:eastAsia="Times New Roman" w:hAnsi="Garamond"/>
          <w:sz w:val="22"/>
          <w:lang w:val="nl-NL" w:eastAsia="nl-NL"/>
        </w:rPr>
      </w:pPr>
      <w:r w:rsidRPr="00836202">
        <w:rPr>
          <w:rFonts w:ascii="Garamond" w:eastAsia="Times New Roman" w:hAnsi="Garamond"/>
          <w:sz w:val="22"/>
          <w:lang w:val="nl-NL" w:eastAsia="nl-NL"/>
        </w:rPr>
        <w:t>Heeft de student kennis van belangrijke ideeën over het begrip bu</w:t>
      </w:r>
      <w:r>
        <w:rPr>
          <w:rFonts w:ascii="Garamond" w:eastAsia="Times New Roman" w:hAnsi="Garamond"/>
          <w:sz w:val="22"/>
          <w:lang w:val="nl-NL" w:eastAsia="nl-NL"/>
        </w:rPr>
        <w:t xml:space="preserve">rgerschap in de context van het </w:t>
      </w:r>
      <w:r w:rsidRPr="00836202">
        <w:rPr>
          <w:rFonts w:ascii="Garamond" w:eastAsia="Times New Roman" w:hAnsi="Garamond"/>
          <w:sz w:val="22"/>
          <w:lang w:val="nl-NL" w:eastAsia="nl-NL"/>
        </w:rPr>
        <w:t>onderwijs vanuit verschillende disciplinaire invalshoeken;</w:t>
      </w:r>
    </w:p>
    <w:p w:rsidR="00836202" w:rsidRPr="00836202" w:rsidRDefault="00836202" w:rsidP="00836202">
      <w:pPr>
        <w:pStyle w:val="ListParagraph"/>
        <w:numPr>
          <w:ilvl w:val="0"/>
          <w:numId w:val="17"/>
        </w:numPr>
        <w:spacing w:line="240" w:lineRule="auto"/>
        <w:rPr>
          <w:rFonts w:ascii="Garamond" w:eastAsia="Times New Roman" w:hAnsi="Garamond"/>
          <w:sz w:val="22"/>
          <w:lang w:val="nl-NL" w:eastAsia="nl-NL"/>
        </w:rPr>
      </w:pPr>
      <w:r w:rsidRPr="00836202">
        <w:rPr>
          <w:rFonts w:ascii="Garamond" w:eastAsia="Times New Roman" w:hAnsi="Garamond"/>
          <w:sz w:val="22"/>
          <w:lang w:val="nl-NL" w:eastAsia="nl-NL"/>
        </w:rPr>
        <w:t xml:space="preserve">Heeft de student inzicht in de wijze waarop in onderwijs/educatie bij kan dragen aan burgerschap; </w:t>
      </w:r>
    </w:p>
    <w:p w:rsidR="00836202" w:rsidRPr="00836202" w:rsidRDefault="00836202" w:rsidP="00836202">
      <w:pPr>
        <w:pStyle w:val="ListParagraph"/>
        <w:numPr>
          <w:ilvl w:val="0"/>
          <w:numId w:val="17"/>
        </w:numPr>
        <w:spacing w:line="240" w:lineRule="auto"/>
        <w:rPr>
          <w:rFonts w:ascii="Garamond" w:eastAsia="Times New Roman" w:hAnsi="Garamond"/>
          <w:sz w:val="22"/>
          <w:lang w:val="nl-NL" w:eastAsia="nl-NL"/>
        </w:rPr>
      </w:pPr>
      <w:r w:rsidRPr="00836202">
        <w:rPr>
          <w:rFonts w:ascii="Garamond" w:eastAsia="Times New Roman" w:hAnsi="Garamond"/>
          <w:sz w:val="22"/>
          <w:lang w:val="nl-NL" w:eastAsia="nl-NL"/>
        </w:rPr>
        <w:t>Heeft de student een eigen visie op burgerschap in relatie tot het eigen schoolvak en in connectie met andere schoolvakken en van relevante (vak)didactiek op dit terrein.</w:t>
      </w:r>
    </w:p>
    <w:p w:rsidR="00836202" w:rsidRPr="00836202" w:rsidRDefault="00836202" w:rsidP="00836202">
      <w:pPr>
        <w:pStyle w:val="ListParagraph"/>
        <w:numPr>
          <w:ilvl w:val="0"/>
          <w:numId w:val="17"/>
        </w:numPr>
        <w:spacing w:line="240" w:lineRule="auto"/>
        <w:rPr>
          <w:rFonts w:ascii="Garamond" w:eastAsia="Times New Roman" w:hAnsi="Garamond"/>
          <w:sz w:val="22"/>
          <w:lang w:val="nl-NL" w:eastAsia="nl-NL"/>
        </w:rPr>
      </w:pPr>
      <w:r w:rsidRPr="00836202">
        <w:rPr>
          <w:rFonts w:ascii="Garamond" w:eastAsia="Times New Roman" w:hAnsi="Garamond"/>
          <w:sz w:val="22"/>
          <w:lang w:val="nl-NL" w:eastAsia="nl-NL"/>
        </w:rPr>
        <w:t>Kan de student met medestudenten een vraagstuk rond burgerschap analyseren vanuit verschillende invalshoeken en een vertaling maken naar een relevante educatieve invulling;</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 xml:space="preserve"> </w:t>
      </w:r>
    </w:p>
    <w:p w:rsidR="00836202" w:rsidRDefault="00836202" w:rsidP="00836202">
      <w:pPr>
        <w:spacing w:after="0" w:line="240" w:lineRule="auto"/>
        <w:rPr>
          <w:rFonts w:ascii="Garamond" w:eastAsia="Times New Roman" w:hAnsi="Garamond" w:cs="Times New Roman"/>
          <w:sz w:val="22"/>
          <w:lang w:val="nl-NL" w:eastAsia="nl-NL"/>
        </w:rPr>
      </w:pP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u w:val="single"/>
          <w:lang w:val="nl-NL" w:eastAsia="nl-NL"/>
        </w:rPr>
        <w:t>Inhoud</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Alle Nederlandse scholen zijn wettelijk verplicht om actief burgerschap en sociale integratie te bevorderen en docenten van alle schoolvakken hebben daarin een rol. Dat vraagt veel van jouw professionaliteit als docent en de keuzes die je maakt op het gebied van vak-inhoud, didactiek en de manier waarop je omgaat met je leerlingen. Hoe leid je leerlingen bijvoorbeeld naar zelfstandigheid terwijl je ook verwacht dat ze zich aanpassen aan de regels van jou, de klas, de school en de samenleving?</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 xml:space="preserve"> </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Die uitdaging staat centraal in deze keuze-cursus. We verkennen de betekenissen van burgerschap, toegespitst op de relatie met onderwijs, en onderzoeken vanuit verschillende invalshoeken het spanningsveld tussen socialisatie en emancipatie, tussen aanpassing en zelfstandig worden. Kernthema’s zijn: ‘</w:t>
      </w:r>
      <w:proofErr w:type="spellStart"/>
      <w:r w:rsidRPr="00836202">
        <w:rPr>
          <w:rFonts w:ascii="Garamond" w:eastAsia="Times New Roman" w:hAnsi="Garamond" w:cs="Times New Roman"/>
          <w:sz w:val="22"/>
          <w:lang w:val="nl-NL" w:eastAsia="nl-NL"/>
        </w:rPr>
        <w:t>Bildung</w:t>
      </w:r>
      <w:proofErr w:type="spellEnd"/>
      <w:r w:rsidRPr="00836202">
        <w:rPr>
          <w:rFonts w:ascii="Garamond" w:eastAsia="Times New Roman" w:hAnsi="Garamond" w:cs="Times New Roman"/>
          <w:sz w:val="22"/>
          <w:lang w:val="nl-NL" w:eastAsia="nl-NL"/>
        </w:rPr>
        <w:t>’, ‘</w:t>
      </w:r>
      <w:proofErr w:type="spellStart"/>
      <w:r w:rsidRPr="00836202">
        <w:rPr>
          <w:rFonts w:ascii="Garamond" w:eastAsia="Times New Roman" w:hAnsi="Garamond" w:cs="Times New Roman"/>
          <w:sz w:val="22"/>
          <w:lang w:val="nl-NL" w:eastAsia="nl-NL"/>
        </w:rPr>
        <w:t>Liberal</w:t>
      </w:r>
      <w:proofErr w:type="spellEnd"/>
      <w:r w:rsidRPr="00836202">
        <w:rPr>
          <w:rFonts w:ascii="Garamond" w:eastAsia="Times New Roman" w:hAnsi="Garamond" w:cs="Times New Roman"/>
          <w:sz w:val="22"/>
          <w:lang w:val="nl-NL" w:eastAsia="nl-NL"/>
        </w:rPr>
        <w:t xml:space="preserve"> </w:t>
      </w:r>
      <w:proofErr w:type="spellStart"/>
      <w:r w:rsidRPr="00836202">
        <w:rPr>
          <w:rFonts w:ascii="Garamond" w:eastAsia="Times New Roman" w:hAnsi="Garamond" w:cs="Times New Roman"/>
          <w:sz w:val="22"/>
          <w:lang w:val="nl-NL" w:eastAsia="nl-NL"/>
        </w:rPr>
        <w:t>Education</w:t>
      </w:r>
      <w:proofErr w:type="spellEnd"/>
      <w:r w:rsidRPr="00836202">
        <w:rPr>
          <w:rFonts w:ascii="Garamond" w:eastAsia="Times New Roman" w:hAnsi="Garamond" w:cs="Times New Roman"/>
          <w:sz w:val="22"/>
          <w:lang w:val="nl-NL" w:eastAsia="nl-NL"/>
        </w:rPr>
        <w:t>’, canonvorming, democratie, vrijheid van onderwijs, het gezag van de leraar, democratie op school, burgerschap in een informatiesamenleving, religie en radicalisering.</w:t>
      </w:r>
    </w:p>
    <w:p w:rsidR="00836202" w:rsidRPr="00836202" w:rsidRDefault="00836202" w:rsidP="00836202">
      <w:pPr>
        <w:spacing w:after="0" w:line="240" w:lineRule="auto"/>
        <w:rPr>
          <w:rFonts w:ascii="Garamond" w:eastAsia="Times New Roman" w:hAnsi="Garamond" w:cs="Times New Roman"/>
          <w:sz w:val="22"/>
          <w:lang w:val="nl-NL" w:eastAsia="nl-NL"/>
        </w:rPr>
      </w:pPr>
      <w:r w:rsidRPr="00836202">
        <w:rPr>
          <w:rFonts w:ascii="Garamond" w:eastAsia="Times New Roman" w:hAnsi="Garamond" w:cs="Times New Roman"/>
          <w:sz w:val="22"/>
          <w:lang w:val="nl-NL" w:eastAsia="nl-NL"/>
        </w:rPr>
        <w:t>De cursus heeft 9 bijeenkomsten met elk een eigen thema. Ieder thema bereid je voor op basis van (keuze)literatuur. Na de bijeenkomsten werk je het thema burgerschap uit voor je eigen vak en je eigen onderwijs. In de loop van de cursus ontwikkel je zo je eigen perspectief op burgerschap en onderwijs.</w:t>
      </w:r>
    </w:p>
    <w:p w:rsidR="00836202" w:rsidRPr="00836202" w:rsidRDefault="00836202" w:rsidP="00836202">
      <w:pPr>
        <w:spacing w:after="0" w:line="240" w:lineRule="auto"/>
        <w:rPr>
          <w:rFonts w:ascii="Garamond" w:eastAsia="Times New Roman" w:hAnsi="Garamond" w:cs="Times New Roman"/>
          <w:b/>
          <w:sz w:val="22"/>
          <w:lang w:val="nl-NL" w:eastAsia="nl-NL"/>
        </w:rPr>
      </w:pPr>
      <w:r w:rsidRPr="00836202">
        <w:rPr>
          <w:rFonts w:ascii="Garamond" w:eastAsia="Times New Roman" w:hAnsi="Garamond" w:cs="Times New Roman"/>
          <w:sz w:val="22"/>
          <w:lang w:val="nl-NL" w:eastAsia="nl-NL"/>
        </w:rPr>
        <w:t>Als afsluiting van de cursus schrijf je een integrerend essay</w:t>
      </w:r>
      <w:r w:rsidRPr="00836202">
        <w:rPr>
          <w:rFonts w:ascii="Garamond" w:eastAsia="Times New Roman" w:hAnsi="Garamond" w:cs="Times New Roman"/>
          <w:b/>
          <w:sz w:val="22"/>
          <w:lang w:val="nl-NL" w:eastAsia="nl-NL"/>
        </w:rPr>
        <w:t xml:space="preserve">. </w:t>
      </w:r>
    </w:p>
    <w:p w:rsidR="00836202" w:rsidRDefault="00836202">
      <w:pPr>
        <w:rPr>
          <w:rFonts w:ascii="Garamond" w:hAnsi="Garamond"/>
          <w:sz w:val="22"/>
          <w:lang w:val="nl-NL"/>
        </w:rPr>
      </w:pPr>
    </w:p>
    <w:p w:rsidR="00F3374D" w:rsidRDefault="00F3374D">
      <w:pPr>
        <w:rPr>
          <w:rFonts w:ascii="Garamond" w:hAnsi="Garamond"/>
          <w:sz w:val="22"/>
          <w:u w:val="single"/>
          <w:lang w:val="nl-NL"/>
        </w:rPr>
      </w:pPr>
      <w:r>
        <w:rPr>
          <w:rFonts w:ascii="Garamond" w:hAnsi="Garamond"/>
          <w:sz w:val="22"/>
          <w:u w:val="single"/>
          <w:lang w:val="nl-NL"/>
        </w:rPr>
        <w:t>Rooster</w:t>
      </w:r>
    </w:p>
    <w:p w:rsidR="0013275E" w:rsidRDefault="0013275E">
      <w:pPr>
        <w:rPr>
          <w:rFonts w:ascii="Garamond" w:hAnsi="Garamond"/>
          <w:sz w:val="22"/>
          <w:lang w:val="nl-NL"/>
        </w:rPr>
      </w:pPr>
      <w:r>
        <w:rPr>
          <w:rFonts w:ascii="Garamond" w:hAnsi="Garamond"/>
          <w:sz w:val="22"/>
          <w:lang w:val="nl-NL"/>
        </w:rPr>
        <w:t>Deze cursus staat gepland in blok 2 van het academisch jaar. Blok 2 loopt van maandag 13 november tot en met vrijdag 4 februari. De laatste week van het blok is onderwijsvrij.</w:t>
      </w:r>
    </w:p>
    <w:tbl>
      <w:tblPr>
        <w:tblStyle w:val="TableGrid"/>
        <w:tblW w:w="0" w:type="auto"/>
        <w:tblLook w:val="04A0" w:firstRow="1" w:lastRow="0" w:firstColumn="1" w:lastColumn="0" w:noHBand="0" w:noVBand="1"/>
      </w:tblPr>
      <w:tblGrid>
        <w:gridCol w:w="2234"/>
        <w:gridCol w:w="2335"/>
        <w:gridCol w:w="2332"/>
        <w:gridCol w:w="2341"/>
      </w:tblGrid>
      <w:tr w:rsidR="0013275E" w:rsidTr="0013275E">
        <w:tc>
          <w:tcPr>
            <w:tcW w:w="2234" w:type="dxa"/>
          </w:tcPr>
          <w:p w:rsidR="0013275E" w:rsidRDefault="0013275E">
            <w:pPr>
              <w:rPr>
                <w:rFonts w:ascii="Garamond" w:hAnsi="Garamond"/>
                <w:sz w:val="22"/>
                <w:lang w:val="nl-NL"/>
              </w:rPr>
            </w:pPr>
            <w:r>
              <w:rPr>
                <w:rFonts w:ascii="Garamond" w:hAnsi="Garamond"/>
                <w:sz w:val="22"/>
                <w:lang w:val="nl-NL"/>
              </w:rPr>
              <w:t>Docent</w:t>
            </w:r>
          </w:p>
        </w:tc>
        <w:tc>
          <w:tcPr>
            <w:tcW w:w="2335" w:type="dxa"/>
          </w:tcPr>
          <w:p w:rsidR="0013275E" w:rsidRDefault="0013275E">
            <w:pPr>
              <w:rPr>
                <w:rFonts w:ascii="Garamond" w:hAnsi="Garamond"/>
                <w:sz w:val="22"/>
                <w:lang w:val="nl-NL"/>
              </w:rPr>
            </w:pPr>
            <w:r>
              <w:rPr>
                <w:rFonts w:ascii="Garamond" w:hAnsi="Garamond"/>
                <w:sz w:val="22"/>
                <w:lang w:val="nl-NL"/>
              </w:rPr>
              <w:t>Dag</w:t>
            </w:r>
          </w:p>
        </w:tc>
        <w:tc>
          <w:tcPr>
            <w:tcW w:w="2332" w:type="dxa"/>
          </w:tcPr>
          <w:p w:rsidR="0013275E" w:rsidRDefault="0013275E">
            <w:pPr>
              <w:rPr>
                <w:rFonts w:ascii="Garamond" w:hAnsi="Garamond"/>
                <w:sz w:val="22"/>
                <w:lang w:val="nl-NL"/>
              </w:rPr>
            </w:pPr>
            <w:r>
              <w:rPr>
                <w:rFonts w:ascii="Garamond" w:hAnsi="Garamond"/>
                <w:sz w:val="22"/>
                <w:lang w:val="nl-NL"/>
              </w:rPr>
              <w:t>Tijd</w:t>
            </w:r>
          </w:p>
        </w:tc>
        <w:tc>
          <w:tcPr>
            <w:tcW w:w="2341" w:type="dxa"/>
          </w:tcPr>
          <w:p w:rsidR="0013275E" w:rsidRDefault="0013275E">
            <w:pPr>
              <w:rPr>
                <w:rFonts w:ascii="Garamond" w:hAnsi="Garamond"/>
                <w:sz w:val="22"/>
                <w:lang w:val="nl-NL"/>
              </w:rPr>
            </w:pPr>
            <w:r>
              <w:rPr>
                <w:rFonts w:ascii="Garamond" w:hAnsi="Garamond"/>
                <w:sz w:val="22"/>
                <w:lang w:val="nl-NL"/>
              </w:rPr>
              <w:t>Zaal</w:t>
            </w:r>
          </w:p>
        </w:tc>
      </w:tr>
      <w:tr w:rsidR="0013275E" w:rsidTr="0013275E">
        <w:tc>
          <w:tcPr>
            <w:tcW w:w="2234" w:type="dxa"/>
          </w:tcPr>
          <w:p w:rsidR="0013275E" w:rsidRDefault="0013275E">
            <w:pPr>
              <w:rPr>
                <w:rFonts w:ascii="Garamond" w:hAnsi="Garamond"/>
                <w:sz w:val="22"/>
                <w:lang w:val="nl-NL"/>
              </w:rPr>
            </w:pPr>
            <w:r>
              <w:rPr>
                <w:rFonts w:ascii="Garamond" w:hAnsi="Garamond"/>
                <w:sz w:val="22"/>
                <w:lang w:val="nl-NL"/>
              </w:rPr>
              <w:t>Jan Marten Praamsma</w:t>
            </w:r>
          </w:p>
        </w:tc>
        <w:tc>
          <w:tcPr>
            <w:tcW w:w="2335" w:type="dxa"/>
          </w:tcPr>
          <w:p w:rsidR="0013275E" w:rsidRDefault="0013275E">
            <w:pPr>
              <w:rPr>
                <w:rFonts w:ascii="Garamond" w:hAnsi="Garamond"/>
                <w:sz w:val="22"/>
                <w:lang w:val="nl-NL"/>
              </w:rPr>
            </w:pPr>
            <w:r>
              <w:rPr>
                <w:rFonts w:ascii="Garamond" w:hAnsi="Garamond"/>
                <w:sz w:val="22"/>
                <w:lang w:val="nl-NL"/>
              </w:rPr>
              <w:t>Dinsdag</w:t>
            </w:r>
          </w:p>
        </w:tc>
        <w:tc>
          <w:tcPr>
            <w:tcW w:w="2332" w:type="dxa"/>
          </w:tcPr>
          <w:p w:rsidR="0013275E" w:rsidRDefault="0013275E">
            <w:pPr>
              <w:rPr>
                <w:rFonts w:ascii="Garamond" w:hAnsi="Garamond"/>
                <w:sz w:val="22"/>
                <w:lang w:val="nl-NL"/>
              </w:rPr>
            </w:pPr>
            <w:r>
              <w:rPr>
                <w:rFonts w:ascii="Garamond" w:hAnsi="Garamond"/>
                <w:sz w:val="22"/>
                <w:lang w:val="nl-NL"/>
              </w:rPr>
              <w:t>15:15-17:00</w:t>
            </w:r>
          </w:p>
        </w:tc>
        <w:tc>
          <w:tcPr>
            <w:tcW w:w="2341" w:type="dxa"/>
          </w:tcPr>
          <w:p w:rsidR="0013275E" w:rsidRDefault="00B661ED">
            <w:pPr>
              <w:rPr>
                <w:rFonts w:ascii="Garamond" w:hAnsi="Garamond"/>
                <w:sz w:val="22"/>
                <w:lang w:val="nl-NL"/>
              </w:rPr>
            </w:pPr>
            <w:hyperlink r:id="rId6" w:history="1">
              <w:r w:rsidR="0013275E" w:rsidRPr="0013275E">
                <w:rPr>
                  <w:rStyle w:val="Hyperlink"/>
                  <w:rFonts w:ascii="Garamond" w:hAnsi="Garamond"/>
                  <w:sz w:val="22"/>
                  <w:lang w:val="nl-NL"/>
                </w:rPr>
                <w:t>Unnik</w:t>
              </w:r>
            </w:hyperlink>
            <w:r w:rsidR="0013275E">
              <w:rPr>
                <w:rFonts w:ascii="Garamond" w:hAnsi="Garamond"/>
                <w:sz w:val="22"/>
                <w:lang w:val="nl-NL"/>
              </w:rPr>
              <w:t xml:space="preserve"> 210</w:t>
            </w:r>
          </w:p>
        </w:tc>
      </w:tr>
    </w:tbl>
    <w:p w:rsidR="0013275E" w:rsidRDefault="0013275E">
      <w:pPr>
        <w:rPr>
          <w:rFonts w:ascii="Garamond" w:hAnsi="Garamond"/>
          <w:sz w:val="22"/>
          <w:lang w:val="nl-NL"/>
        </w:rPr>
      </w:pPr>
    </w:p>
    <w:p w:rsidR="00F3374D" w:rsidRPr="00F3374D" w:rsidRDefault="00F3374D">
      <w:pPr>
        <w:rPr>
          <w:rFonts w:ascii="Garamond" w:hAnsi="Garamond"/>
          <w:sz w:val="22"/>
          <w:lang w:val="nl-NL"/>
        </w:rPr>
      </w:pPr>
    </w:p>
    <w:sectPr w:rsidR="00F3374D" w:rsidRPr="00F33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550AAE"/>
    <w:multiLevelType w:val="hybridMultilevel"/>
    <w:tmpl w:val="AB2AE554"/>
    <w:lvl w:ilvl="0" w:tplc="5920ACBE">
      <w:numFmt w:val="bullet"/>
      <w:lvlText w:val="•"/>
      <w:lvlJc w:val="left"/>
      <w:pPr>
        <w:ind w:left="930" w:hanging="57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F06E9D"/>
    <w:multiLevelType w:val="hybridMultilevel"/>
    <w:tmpl w:val="A6F0EBF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DC74307"/>
    <w:multiLevelType w:val="hybridMultilevel"/>
    <w:tmpl w:val="4838E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02"/>
    <w:rsid w:val="000058CA"/>
    <w:rsid w:val="000F4D99"/>
    <w:rsid w:val="0013275E"/>
    <w:rsid w:val="001A10C0"/>
    <w:rsid w:val="001A650E"/>
    <w:rsid w:val="00392E43"/>
    <w:rsid w:val="003C0064"/>
    <w:rsid w:val="005F208D"/>
    <w:rsid w:val="00776B23"/>
    <w:rsid w:val="007C6D5C"/>
    <w:rsid w:val="00836202"/>
    <w:rsid w:val="008C01DA"/>
    <w:rsid w:val="009A619A"/>
    <w:rsid w:val="00B43DD1"/>
    <w:rsid w:val="00B661ED"/>
    <w:rsid w:val="00B80DB4"/>
    <w:rsid w:val="00D94168"/>
    <w:rsid w:val="00E6563F"/>
    <w:rsid w:val="00EC19AF"/>
    <w:rsid w:val="00F33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customStyle="1" w:styleId="psbtoontekst">
    <w:name w:val="psbtoontekst"/>
    <w:basedOn w:val="DefaultParagraphFont"/>
    <w:rsid w:val="00836202"/>
  </w:style>
  <w:style w:type="paragraph" w:styleId="BalloonText">
    <w:name w:val="Balloon Text"/>
    <w:basedOn w:val="Normal"/>
    <w:link w:val="BalloonTextChar"/>
    <w:uiPriority w:val="99"/>
    <w:semiHidden/>
    <w:unhideWhenUsed/>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02"/>
    <w:rPr>
      <w:rFonts w:ascii="Tahoma" w:hAnsi="Tahoma" w:cs="Tahoma"/>
      <w:sz w:val="16"/>
      <w:szCs w:val="16"/>
      <w:lang w:val="en-US"/>
    </w:rPr>
  </w:style>
  <w:style w:type="table" w:styleId="TableGrid">
    <w:name w:val="Table Grid"/>
    <w:basedOn w:val="TableNormal"/>
    <w:uiPriority w:val="59"/>
    <w:rsid w:val="0013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customStyle="1" w:styleId="psbtoontekst">
    <w:name w:val="psbtoontekst"/>
    <w:basedOn w:val="DefaultParagraphFont"/>
    <w:rsid w:val="00836202"/>
  </w:style>
  <w:style w:type="paragraph" w:styleId="BalloonText">
    <w:name w:val="Balloon Text"/>
    <w:basedOn w:val="Normal"/>
    <w:link w:val="BalloonTextChar"/>
    <w:uiPriority w:val="99"/>
    <w:semiHidden/>
    <w:unhideWhenUsed/>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02"/>
    <w:rPr>
      <w:rFonts w:ascii="Tahoma" w:hAnsi="Tahoma" w:cs="Tahoma"/>
      <w:sz w:val="16"/>
      <w:szCs w:val="16"/>
      <w:lang w:val="en-US"/>
    </w:rPr>
  </w:style>
  <w:style w:type="table" w:styleId="TableGrid">
    <w:name w:val="Table Grid"/>
    <w:basedOn w:val="TableNormal"/>
    <w:uiPriority w:val="59"/>
    <w:rsid w:val="0013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5803">
      <w:bodyDiv w:val="1"/>
      <w:marLeft w:val="0"/>
      <w:marRight w:val="0"/>
      <w:marTop w:val="0"/>
      <w:marBottom w:val="0"/>
      <w:divBdr>
        <w:top w:val="none" w:sz="0" w:space="0" w:color="auto"/>
        <w:left w:val="none" w:sz="0" w:space="0" w:color="auto"/>
        <w:bottom w:val="none" w:sz="0" w:space="0" w:color="auto"/>
        <w:right w:val="none" w:sz="0" w:space="0" w:color="auto"/>
      </w:divBdr>
    </w:div>
    <w:div w:id="932132928">
      <w:bodyDiv w:val="1"/>
      <w:marLeft w:val="0"/>
      <w:marRight w:val="0"/>
      <w:marTop w:val="0"/>
      <w:marBottom w:val="0"/>
      <w:divBdr>
        <w:top w:val="none" w:sz="0" w:space="0" w:color="auto"/>
        <w:left w:val="none" w:sz="0" w:space="0" w:color="auto"/>
        <w:bottom w:val="none" w:sz="0" w:space="0" w:color="auto"/>
        <w:right w:val="none" w:sz="0" w:space="0" w:color="auto"/>
      </w:divBdr>
      <w:divsChild>
        <w:div w:id="262343489">
          <w:marLeft w:val="0"/>
          <w:marRight w:val="0"/>
          <w:marTop w:val="0"/>
          <w:marBottom w:val="0"/>
          <w:divBdr>
            <w:top w:val="none" w:sz="0" w:space="0" w:color="auto"/>
            <w:left w:val="none" w:sz="0" w:space="0" w:color="auto"/>
            <w:bottom w:val="none" w:sz="0" w:space="0" w:color="auto"/>
            <w:right w:val="none" w:sz="0" w:space="0" w:color="auto"/>
          </w:divBdr>
        </w:div>
        <w:div w:id="113257079">
          <w:marLeft w:val="0"/>
          <w:marRight w:val="0"/>
          <w:marTop w:val="0"/>
          <w:marBottom w:val="0"/>
          <w:divBdr>
            <w:top w:val="none" w:sz="0" w:space="0" w:color="auto"/>
            <w:left w:val="none" w:sz="0" w:space="0" w:color="auto"/>
            <w:bottom w:val="none" w:sz="0" w:space="0" w:color="auto"/>
            <w:right w:val="none" w:sz="0" w:space="0" w:color="auto"/>
          </w:divBdr>
        </w:div>
        <w:div w:id="981930786">
          <w:marLeft w:val="0"/>
          <w:marRight w:val="0"/>
          <w:marTop w:val="0"/>
          <w:marBottom w:val="0"/>
          <w:divBdr>
            <w:top w:val="none" w:sz="0" w:space="0" w:color="auto"/>
            <w:left w:val="none" w:sz="0" w:space="0" w:color="auto"/>
            <w:bottom w:val="none" w:sz="0" w:space="0" w:color="auto"/>
            <w:right w:val="none" w:sz="0" w:space="0" w:color="auto"/>
          </w:divBdr>
        </w:div>
        <w:div w:id="417679184">
          <w:marLeft w:val="0"/>
          <w:marRight w:val="0"/>
          <w:marTop w:val="0"/>
          <w:marBottom w:val="0"/>
          <w:divBdr>
            <w:top w:val="none" w:sz="0" w:space="0" w:color="auto"/>
            <w:left w:val="none" w:sz="0" w:space="0" w:color="auto"/>
            <w:bottom w:val="none" w:sz="0" w:space="0" w:color="auto"/>
            <w:right w:val="none" w:sz="0" w:space="0" w:color="auto"/>
          </w:divBdr>
        </w:div>
        <w:div w:id="729690605">
          <w:marLeft w:val="0"/>
          <w:marRight w:val="0"/>
          <w:marTop w:val="0"/>
          <w:marBottom w:val="0"/>
          <w:divBdr>
            <w:top w:val="none" w:sz="0" w:space="0" w:color="auto"/>
            <w:left w:val="none" w:sz="0" w:space="0" w:color="auto"/>
            <w:bottom w:val="none" w:sz="0" w:space="0" w:color="auto"/>
            <w:right w:val="none" w:sz="0" w:space="0" w:color="auto"/>
          </w:divBdr>
        </w:div>
        <w:div w:id="175088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nl/willem-c-van-unnikgebou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7725D4F6.dotm</Template>
  <TotalTime>0</TotalTime>
  <Pages>1</Pages>
  <Words>364</Words>
  <Characters>2006</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M.H. van der (Margreet)</dc:creator>
  <cp:lastModifiedBy>Temmen, S.H. (Stijn)</cp:lastModifiedBy>
  <cp:revision>2</cp:revision>
  <dcterms:created xsi:type="dcterms:W3CDTF">2017-09-12T08:30:00Z</dcterms:created>
  <dcterms:modified xsi:type="dcterms:W3CDTF">2017-09-12T08:30:00Z</dcterms:modified>
</cp:coreProperties>
</file>