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2C" w:rsidRPr="00A2187F" w:rsidRDefault="0098252C" w:rsidP="0098252C">
      <w:pPr>
        <w:pStyle w:val="Heading2"/>
        <w:numPr>
          <w:ilvl w:val="0"/>
          <w:numId w:val="0"/>
        </w:numPr>
      </w:pPr>
      <w:bookmarkStart w:id="0" w:name="_Toc430700650"/>
      <w:r w:rsidRPr="00A2187F">
        <w:t>Observatie met ICALT in de klas</w:t>
      </w:r>
      <w:bookmarkEnd w:id="0"/>
    </w:p>
    <w:p w:rsidR="0098252C" w:rsidRPr="00A2187F" w:rsidRDefault="0098252C" w:rsidP="0098252C">
      <w:pPr>
        <w:pStyle w:val="NoSpacing"/>
        <w:rPr>
          <w:b/>
          <w:lang w:val="nl-NL"/>
        </w:rPr>
      </w:pPr>
    </w:p>
    <w:tbl>
      <w:tblPr>
        <w:tblStyle w:val="TableGrid"/>
        <w:tblW w:w="9464" w:type="dxa"/>
        <w:tblLook w:val="04A0" w:firstRow="1" w:lastRow="0" w:firstColumn="1" w:lastColumn="0" w:noHBand="0" w:noVBand="1"/>
      </w:tblPr>
      <w:tblGrid>
        <w:gridCol w:w="2943"/>
        <w:gridCol w:w="6521"/>
      </w:tblGrid>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Naam activiteit</w:t>
            </w:r>
          </w:p>
        </w:tc>
        <w:tc>
          <w:tcPr>
            <w:tcW w:w="6521" w:type="dxa"/>
          </w:tcPr>
          <w:p w:rsidR="0098252C" w:rsidRPr="00A2187F" w:rsidRDefault="0098252C" w:rsidP="00B155CA">
            <w:pPr>
              <w:pStyle w:val="NoSpacing"/>
              <w:spacing w:line="360" w:lineRule="auto"/>
              <w:rPr>
                <w:lang w:val="nl-NL"/>
              </w:rPr>
            </w:pPr>
            <w:r w:rsidRPr="00A2187F">
              <w:rPr>
                <w:lang w:val="nl-NL"/>
              </w:rPr>
              <w:t>Observatie met ICALT in de klas</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98252C" w:rsidRPr="00A2187F" w:rsidRDefault="0098252C" w:rsidP="00B155CA">
            <w:pPr>
              <w:pStyle w:val="NoSpacing"/>
              <w:spacing w:line="360" w:lineRule="auto"/>
              <w:rPr>
                <w:lang w:val="nl-NL"/>
              </w:rPr>
            </w:pPr>
            <w:r w:rsidRPr="00A2187F">
              <w:rPr>
                <w:lang w:val="nl-NL"/>
              </w:rPr>
              <w:t>Observatie en coaching</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Doel activiteit</w:t>
            </w:r>
          </w:p>
        </w:tc>
        <w:tc>
          <w:tcPr>
            <w:tcW w:w="6521" w:type="dxa"/>
          </w:tcPr>
          <w:p w:rsidR="0098252C" w:rsidRPr="00A2187F" w:rsidRDefault="0098252C" w:rsidP="00B155CA">
            <w:pPr>
              <w:pStyle w:val="NoSpacing"/>
              <w:spacing w:line="360" w:lineRule="auto"/>
              <w:rPr>
                <w:lang w:val="nl-NL"/>
              </w:rPr>
            </w:pPr>
            <w:r w:rsidRPr="00A2187F">
              <w:rPr>
                <w:lang w:val="nl-NL"/>
              </w:rPr>
              <w:t>De beginnende docent begeleiding op maat geven door zo objectief mogelijk te observeren met behulp van het ICALT observatieformulier</w:t>
            </w:r>
          </w:p>
        </w:tc>
      </w:tr>
      <w:tr w:rsidR="0098252C" w:rsidRPr="00A2187F" w:rsidTr="00B155CA">
        <w:tc>
          <w:tcPr>
            <w:tcW w:w="2943" w:type="dxa"/>
          </w:tcPr>
          <w:p w:rsidR="0098252C" w:rsidRPr="00A2187F" w:rsidRDefault="003C18A6" w:rsidP="00B155CA">
            <w:pPr>
              <w:pStyle w:val="NoSpacing"/>
              <w:spacing w:line="360" w:lineRule="auto"/>
              <w:rPr>
                <w:lang w:val="nl-NL"/>
              </w:rPr>
            </w:pPr>
            <w:r>
              <w:rPr>
                <w:lang w:val="nl-NL"/>
              </w:rPr>
              <w:t>Begeleidingsfase</w:t>
            </w:r>
          </w:p>
        </w:tc>
        <w:tc>
          <w:tcPr>
            <w:tcW w:w="6521" w:type="dxa"/>
          </w:tcPr>
          <w:p w:rsidR="0098252C" w:rsidRPr="00A2187F" w:rsidRDefault="003C18A6" w:rsidP="00B155CA">
            <w:pPr>
              <w:pStyle w:val="NoSpacing"/>
              <w:spacing w:line="360" w:lineRule="auto"/>
              <w:rPr>
                <w:lang w:val="nl-NL"/>
              </w:rPr>
            </w:pPr>
            <w:r>
              <w:rPr>
                <w:lang w:val="nl-NL"/>
              </w:rPr>
              <w:t>1 (ingroeien), 2 (verbreden) en 3 (verdiepen)</w:t>
            </w:r>
            <w:bookmarkStart w:id="1" w:name="_GoBack"/>
            <w:bookmarkEnd w:id="1"/>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Deelnemers</w:t>
            </w:r>
          </w:p>
        </w:tc>
        <w:tc>
          <w:tcPr>
            <w:tcW w:w="6521" w:type="dxa"/>
          </w:tcPr>
          <w:p w:rsidR="0098252C" w:rsidRDefault="0098252C" w:rsidP="00B155CA">
            <w:pPr>
              <w:pStyle w:val="NoSpacing"/>
              <w:spacing w:line="360" w:lineRule="auto"/>
              <w:rPr>
                <w:lang w:val="nl-NL"/>
              </w:rPr>
            </w:pPr>
            <w:r>
              <w:rPr>
                <w:lang w:val="nl-NL"/>
              </w:rPr>
              <w:t>Startende leraar en schoolopleider</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8252C" w:rsidRPr="00A2187F" w:rsidRDefault="0098252C" w:rsidP="00B155CA">
            <w:pPr>
              <w:pStyle w:val="NoSpacing"/>
              <w:spacing w:line="360" w:lineRule="auto"/>
              <w:rPr>
                <w:lang w:val="nl-NL"/>
              </w:rPr>
            </w:pPr>
            <w:r w:rsidRPr="00A2187F">
              <w:rPr>
                <w:lang w:val="nl-NL"/>
              </w:rPr>
              <w:t>In een klas (willekeurig)</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Tijdsduur</w:t>
            </w:r>
          </w:p>
        </w:tc>
        <w:tc>
          <w:tcPr>
            <w:tcW w:w="6521" w:type="dxa"/>
          </w:tcPr>
          <w:p w:rsidR="0098252C" w:rsidRPr="00A2187F" w:rsidRDefault="0098252C" w:rsidP="00B155CA">
            <w:pPr>
              <w:pStyle w:val="NoSpacing"/>
              <w:spacing w:line="360" w:lineRule="auto"/>
              <w:rPr>
                <w:lang w:val="nl-NL"/>
              </w:rPr>
            </w:pPr>
            <w:r w:rsidRPr="00A2187F">
              <w:rPr>
                <w:lang w:val="nl-NL"/>
              </w:rPr>
              <w:t>Eén lesuur</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Aantal keren</w:t>
            </w:r>
          </w:p>
        </w:tc>
        <w:tc>
          <w:tcPr>
            <w:tcW w:w="6521" w:type="dxa"/>
          </w:tcPr>
          <w:p w:rsidR="0098252C" w:rsidRPr="00A2187F" w:rsidRDefault="0098252C" w:rsidP="00B155CA">
            <w:pPr>
              <w:pStyle w:val="NoSpacing"/>
              <w:spacing w:line="360" w:lineRule="auto"/>
              <w:rPr>
                <w:lang w:val="nl-NL"/>
              </w:rPr>
            </w:pPr>
            <w:r w:rsidRPr="00A2187F">
              <w:rPr>
                <w:lang w:val="nl-NL"/>
              </w:rPr>
              <w:t>Twee keer per jaar</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Voorbereiding activiteit</w:t>
            </w:r>
          </w:p>
        </w:tc>
        <w:tc>
          <w:tcPr>
            <w:tcW w:w="6521" w:type="dxa"/>
          </w:tcPr>
          <w:p w:rsidR="0098252C" w:rsidRPr="00A2187F" w:rsidRDefault="0098252C" w:rsidP="00B155CA">
            <w:pPr>
              <w:pStyle w:val="NoSpacing"/>
              <w:spacing w:line="360" w:lineRule="auto"/>
              <w:rPr>
                <w:lang w:val="nl-NL"/>
              </w:rPr>
            </w:pPr>
            <w:r w:rsidRPr="00A2187F">
              <w:rPr>
                <w:lang w:val="nl-NL"/>
              </w:rPr>
              <w:t xml:space="preserve">Printen ICALT observatieformulier of app installeren </w:t>
            </w:r>
          </w:p>
          <w:p w:rsidR="0098252C" w:rsidRPr="00A2187F" w:rsidRDefault="0098252C" w:rsidP="00B155CA">
            <w:pPr>
              <w:pStyle w:val="NoSpacing"/>
              <w:spacing w:line="360" w:lineRule="auto"/>
              <w:rPr>
                <w:lang w:val="nl-NL"/>
              </w:rPr>
            </w:pPr>
            <w:r w:rsidRPr="00A2187F">
              <w:rPr>
                <w:lang w:val="nl-NL"/>
              </w:rPr>
              <w:t>Rooster van docent bekijken en les kiezen</w:t>
            </w:r>
          </w:p>
          <w:p w:rsidR="0098252C" w:rsidRPr="00A2187F" w:rsidRDefault="0098252C" w:rsidP="00B155CA">
            <w:pPr>
              <w:pStyle w:val="NoSpacing"/>
              <w:spacing w:line="360" w:lineRule="auto"/>
              <w:rPr>
                <w:lang w:val="nl-NL"/>
              </w:rPr>
            </w:pPr>
            <w:r w:rsidRPr="00A2187F">
              <w:rPr>
                <w:lang w:val="nl-NL"/>
              </w:rPr>
              <w:t>Docent informeren dat les geobserveerd gaat worden</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Korte omschrijving activiteit</w:t>
            </w:r>
          </w:p>
        </w:tc>
        <w:tc>
          <w:tcPr>
            <w:tcW w:w="6521" w:type="dxa"/>
          </w:tcPr>
          <w:p w:rsidR="0098252C" w:rsidRPr="00A2187F" w:rsidRDefault="0098252C" w:rsidP="00B155CA">
            <w:pPr>
              <w:pStyle w:val="NoSpacing"/>
              <w:spacing w:line="360" w:lineRule="auto"/>
              <w:rPr>
                <w:lang w:val="nl-NL"/>
              </w:rPr>
            </w:pPr>
            <w:r w:rsidRPr="00A2187F">
              <w:rPr>
                <w:lang w:val="nl-NL"/>
              </w:rPr>
              <w:t>Schoolopleider zit in het lokaal, observeert de les en maakt aantekeningen. Tijdens of na de les vult hij/zij het ICALT observatieformulier in.</w:t>
            </w:r>
          </w:p>
          <w:p w:rsidR="0098252C" w:rsidRPr="00A2187F" w:rsidRDefault="0098252C" w:rsidP="00B155CA">
            <w:pPr>
              <w:pStyle w:val="NoSpacing"/>
              <w:spacing w:line="360" w:lineRule="auto"/>
              <w:rPr>
                <w:lang w:val="nl-NL"/>
              </w:rPr>
            </w:pPr>
          </w:p>
          <w:p w:rsidR="0098252C" w:rsidRPr="00A2187F" w:rsidRDefault="0098252C" w:rsidP="00B155CA">
            <w:pPr>
              <w:pStyle w:val="NoSpacing"/>
              <w:spacing w:line="360" w:lineRule="auto"/>
              <w:rPr>
                <w:lang w:val="nl-NL"/>
              </w:rPr>
            </w:pPr>
            <w:r w:rsidRPr="00A2187F">
              <w:rPr>
                <w:lang w:val="nl-NL"/>
              </w:rPr>
              <w:t xml:space="preserve">Scores 3 en 4 worden toegekend aan onderdelen die voldoende aanwezig waren in de les, waarbij score 4 wordt toegekend aan gedrag dat overeenkomt met die van een ervaren docent. Scores 1 en 2 worden toegekend aan onderdelen waarvan de observator vindt dat het gaat om een ‘gemiste kans’. In zo een geval is het onderdeel niet naar voren gekomen in de les, terwijl dit wel wenselijk was geweest. </w:t>
            </w:r>
          </w:p>
          <w:p w:rsidR="0098252C" w:rsidRPr="00A2187F" w:rsidRDefault="0098252C" w:rsidP="00B155CA">
            <w:pPr>
              <w:pStyle w:val="NoSpacing"/>
              <w:spacing w:line="360" w:lineRule="auto"/>
              <w:rPr>
                <w:lang w:val="nl-NL"/>
              </w:rPr>
            </w:pPr>
          </w:p>
          <w:p w:rsidR="0098252C" w:rsidRPr="00A2187F" w:rsidRDefault="0098252C" w:rsidP="00B155CA">
            <w:pPr>
              <w:pStyle w:val="NoSpacing"/>
              <w:spacing w:line="360" w:lineRule="auto"/>
              <w:rPr>
                <w:lang w:val="nl-NL"/>
              </w:rPr>
            </w:pPr>
            <w:r w:rsidRPr="00A2187F">
              <w:rPr>
                <w:lang w:val="nl-NL"/>
              </w:rPr>
              <w:t xml:space="preserve">Bij twijfel over bepaalde onderdelen kan een gesprek aangaan met de beginnende docent nuttig zijn. Bijvoorbeeld: “ik kon niet goed </w:t>
            </w:r>
            <w:r w:rsidRPr="00A2187F">
              <w:rPr>
                <w:lang w:val="nl-NL"/>
              </w:rPr>
              <w:lastRenderedPageBreak/>
              <w:t>bepalen of je de excellente leerlingen hebt onderscheiden van de andere leerlingen, hoe kijk jij hier tegenaan?” En op basis van het antwoord van de beginnende docent kan alsnog een score worden toegekend</w:t>
            </w:r>
            <w:r>
              <w:rPr>
                <w:lang w:val="nl-NL"/>
              </w:rPr>
              <w:t>.</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lastRenderedPageBreak/>
              <w:t>Volgend op de activiteit</w:t>
            </w:r>
          </w:p>
        </w:tc>
        <w:tc>
          <w:tcPr>
            <w:tcW w:w="6521" w:type="dxa"/>
          </w:tcPr>
          <w:p w:rsidR="0098252C" w:rsidRPr="00A2187F" w:rsidRDefault="0098252C" w:rsidP="00B155CA">
            <w:pPr>
              <w:pStyle w:val="NoSpacing"/>
              <w:spacing w:line="360" w:lineRule="auto"/>
              <w:rPr>
                <w:u w:val="single"/>
                <w:lang w:val="nl-NL"/>
              </w:rPr>
            </w:pPr>
            <w:r w:rsidRPr="00A2187F">
              <w:rPr>
                <w:lang w:val="nl-NL"/>
              </w:rPr>
              <w:t>Een coaching gesprek n.a.v. de ICALT observatie vindt vervolgens plaats op een geplande afspraak tussen de schoolopleider en de beginnende docent</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 xml:space="preserve">Benodigd materiaal </w:t>
            </w:r>
          </w:p>
        </w:tc>
        <w:tc>
          <w:tcPr>
            <w:tcW w:w="6521" w:type="dxa"/>
          </w:tcPr>
          <w:p w:rsidR="0098252C" w:rsidRDefault="0098252C" w:rsidP="00B155CA">
            <w:pPr>
              <w:pStyle w:val="NoSpacing"/>
              <w:spacing w:line="360" w:lineRule="auto"/>
              <w:rPr>
                <w:lang w:val="nl-NL"/>
              </w:rPr>
            </w:pPr>
            <w:r>
              <w:rPr>
                <w:lang w:val="nl-NL"/>
              </w:rPr>
              <w:t xml:space="preserve">Zie bijlage 7: aanvullend materiaal bij activiteit “Observatie met ICALT in de klas” voor het </w:t>
            </w:r>
            <w:r w:rsidRPr="00A2187F">
              <w:rPr>
                <w:lang w:val="nl-NL"/>
              </w:rPr>
              <w:t>ICALT observatieformulier</w:t>
            </w:r>
            <w:r>
              <w:rPr>
                <w:lang w:val="nl-NL"/>
              </w:rPr>
              <w:t xml:space="preserve"> en aandachtspunten bij het observeren met het ICALT</w:t>
            </w:r>
          </w:p>
          <w:p w:rsidR="0098252C" w:rsidRPr="00A2187F" w:rsidRDefault="0098252C" w:rsidP="00B155CA">
            <w:pPr>
              <w:pStyle w:val="NoSpacing"/>
              <w:spacing w:line="360" w:lineRule="auto"/>
              <w:rPr>
                <w:lang w:val="nl-NL"/>
              </w:rPr>
            </w:pPr>
            <w:r w:rsidRPr="00A2187F">
              <w:rPr>
                <w:lang w:val="nl-NL"/>
              </w:rPr>
              <w:t>Pen en papier</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Randvoorwaarden</w:t>
            </w:r>
          </w:p>
        </w:tc>
        <w:tc>
          <w:tcPr>
            <w:tcW w:w="6521" w:type="dxa"/>
          </w:tcPr>
          <w:p w:rsidR="0098252C" w:rsidRPr="00A2187F" w:rsidRDefault="0098252C" w:rsidP="00B155CA">
            <w:pPr>
              <w:pStyle w:val="NoSpacing"/>
              <w:spacing w:line="360" w:lineRule="auto"/>
              <w:rPr>
                <w:lang w:val="nl-NL"/>
              </w:rPr>
            </w:pPr>
            <w:r w:rsidRPr="00A2187F">
              <w:rPr>
                <w:lang w:val="nl-NL"/>
              </w:rPr>
              <w:t xml:space="preserve">De </w:t>
            </w:r>
            <w:r>
              <w:rPr>
                <w:lang w:val="nl-NL"/>
              </w:rPr>
              <w:t>schoolopleider</w:t>
            </w:r>
            <w:r w:rsidR="00CD0E58">
              <w:rPr>
                <w:lang w:val="nl-NL"/>
              </w:rPr>
              <w:t xml:space="preserve"> of coach</w:t>
            </w:r>
            <w:r w:rsidRPr="00A2187F">
              <w:rPr>
                <w:lang w:val="nl-NL"/>
              </w:rPr>
              <w:t xml:space="preserve"> is getraind in het observeren met het ICALT</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Motivatie om activiteit op deze manier in te vullen</w:t>
            </w:r>
          </w:p>
        </w:tc>
        <w:tc>
          <w:tcPr>
            <w:tcW w:w="6521" w:type="dxa"/>
          </w:tcPr>
          <w:p w:rsidR="0098252C" w:rsidRPr="00A2187F" w:rsidRDefault="0098252C" w:rsidP="00B155CA">
            <w:pPr>
              <w:pStyle w:val="NoSpacing"/>
              <w:spacing w:line="360" w:lineRule="auto"/>
              <w:rPr>
                <w:lang w:val="nl-NL"/>
              </w:rPr>
            </w:pPr>
            <w:r>
              <w:rPr>
                <w:lang w:val="nl-NL"/>
              </w:rPr>
              <w:t>Op deze manier kan een schoolopleider</w:t>
            </w:r>
            <w:r w:rsidRPr="00A2187F">
              <w:rPr>
                <w:lang w:val="nl-NL"/>
              </w:rPr>
              <w:t xml:space="preserve"> een zo objectief mogelijk beeld krijgen van de startende leraar, door alleen naar gedrag te kijken dat te observeren is</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Variaties/ Aanvullingen</w:t>
            </w:r>
          </w:p>
        </w:tc>
        <w:tc>
          <w:tcPr>
            <w:tcW w:w="6521" w:type="dxa"/>
          </w:tcPr>
          <w:p w:rsidR="0098252C" w:rsidRPr="00A2187F" w:rsidRDefault="0098252C" w:rsidP="0098252C">
            <w:pPr>
              <w:numPr>
                <w:ilvl w:val="0"/>
                <w:numId w:val="7"/>
              </w:numPr>
              <w:spacing w:line="360" w:lineRule="auto"/>
            </w:pPr>
            <w:r w:rsidRPr="00A2187F">
              <w:t>Observatie met ICALT van video-opname</w:t>
            </w:r>
          </w:p>
          <w:p w:rsidR="0098252C" w:rsidRPr="00A2187F" w:rsidRDefault="0098252C" w:rsidP="0098252C">
            <w:pPr>
              <w:numPr>
                <w:ilvl w:val="0"/>
                <w:numId w:val="7"/>
              </w:numPr>
              <w:spacing w:line="360" w:lineRule="auto"/>
            </w:pPr>
            <w:r w:rsidRPr="00A2187F">
              <w:t>Observatie met leerlingenversie van ICALT</w:t>
            </w:r>
          </w:p>
          <w:p w:rsidR="0098252C" w:rsidRPr="00A2187F" w:rsidRDefault="0098252C" w:rsidP="0098252C">
            <w:pPr>
              <w:numPr>
                <w:ilvl w:val="0"/>
                <w:numId w:val="7"/>
              </w:numPr>
              <w:spacing w:line="360" w:lineRule="auto"/>
            </w:pPr>
            <w:r w:rsidRPr="00A2187F">
              <w:t>Coaching gesprek n.a.v. de ICALT observatie</w:t>
            </w:r>
          </w:p>
          <w:p w:rsidR="0098252C" w:rsidRPr="00A2187F" w:rsidRDefault="0098252C" w:rsidP="0098252C">
            <w:pPr>
              <w:pStyle w:val="NoSpacing"/>
              <w:numPr>
                <w:ilvl w:val="0"/>
                <w:numId w:val="7"/>
              </w:numPr>
              <w:spacing w:line="360" w:lineRule="auto"/>
              <w:rPr>
                <w:lang w:val="nl-NL"/>
              </w:rPr>
            </w:pPr>
            <w:r w:rsidRPr="00A2187F">
              <w:rPr>
                <w:rFonts w:eastAsiaTheme="minorHAnsi"/>
                <w:lang w:val="nl-NL" w:eastAsia="en-US"/>
              </w:rPr>
              <w:t>ICALT training observatie</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Referenties (artikel, boek, videomateriaal etc.)</w:t>
            </w:r>
          </w:p>
        </w:tc>
        <w:tc>
          <w:tcPr>
            <w:tcW w:w="6521" w:type="dxa"/>
          </w:tcPr>
          <w:p w:rsidR="0098252C" w:rsidRPr="00A2187F" w:rsidRDefault="0098252C" w:rsidP="0098252C">
            <w:pPr>
              <w:numPr>
                <w:ilvl w:val="0"/>
                <w:numId w:val="7"/>
              </w:numPr>
              <w:spacing w:line="360" w:lineRule="auto"/>
            </w:pPr>
            <w:r w:rsidRPr="00A2187F">
              <w:t>Informatiebrochure INO 2014-2017</w:t>
            </w:r>
          </w:p>
          <w:p w:rsidR="0098252C" w:rsidRPr="0098252C" w:rsidRDefault="0098252C" w:rsidP="0098252C">
            <w:pPr>
              <w:numPr>
                <w:ilvl w:val="0"/>
                <w:numId w:val="7"/>
              </w:numPr>
              <w:spacing w:line="360" w:lineRule="auto"/>
              <w:rPr>
                <w:lang w:val="en-US"/>
              </w:rPr>
            </w:pPr>
            <w:proofErr w:type="spellStart"/>
            <w:r w:rsidRPr="0098252C">
              <w:rPr>
                <w:lang w:val="en-US"/>
              </w:rPr>
              <w:t>Inspectie</w:t>
            </w:r>
            <w:proofErr w:type="spellEnd"/>
            <w:r w:rsidRPr="0098252C">
              <w:rPr>
                <w:lang w:val="en-US"/>
              </w:rPr>
              <w:t xml:space="preserve"> van het </w:t>
            </w:r>
            <w:proofErr w:type="spellStart"/>
            <w:r w:rsidRPr="0098252C">
              <w:rPr>
                <w:lang w:val="en-US"/>
              </w:rPr>
              <w:t>Onderwijs</w:t>
            </w:r>
            <w:proofErr w:type="spellEnd"/>
            <w:r w:rsidRPr="0098252C">
              <w:rPr>
                <w:lang w:val="en-US"/>
              </w:rPr>
              <w:t xml:space="preserve"> (2009). </w:t>
            </w:r>
            <w:r w:rsidRPr="0098252C">
              <w:rPr>
                <w:i/>
                <w:lang w:val="en-US"/>
              </w:rPr>
              <w:t>International Comparative Analysis of Learning and Teaching in Math Lessons in Several European Countries.</w:t>
            </w:r>
          </w:p>
          <w:p w:rsidR="0098252C" w:rsidRPr="00A2187F" w:rsidRDefault="0098252C" w:rsidP="0098252C">
            <w:pPr>
              <w:numPr>
                <w:ilvl w:val="0"/>
                <w:numId w:val="7"/>
              </w:numPr>
              <w:spacing w:line="360" w:lineRule="auto"/>
            </w:pPr>
            <w:r w:rsidRPr="00A2187F">
              <w:t>Richtlijnen voor de observator</w:t>
            </w:r>
          </w:p>
          <w:p w:rsidR="0098252C" w:rsidRPr="00A2187F" w:rsidRDefault="0098252C" w:rsidP="0098252C">
            <w:pPr>
              <w:pStyle w:val="NoSpacing"/>
              <w:numPr>
                <w:ilvl w:val="0"/>
                <w:numId w:val="7"/>
              </w:numPr>
              <w:spacing w:line="360" w:lineRule="auto"/>
              <w:rPr>
                <w:lang w:val="nl-NL"/>
              </w:rPr>
            </w:pPr>
            <w:r w:rsidRPr="00A2187F">
              <w:rPr>
                <w:rFonts w:eastAsiaTheme="minorHAnsi"/>
                <w:lang w:val="nl-NL" w:eastAsia="en-US"/>
              </w:rPr>
              <w:t xml:space="preserve">Richtlijnen voor de startende leraar </w:t>
            </w:r>
          </w:p>
        </w:tc>
      </w:tr>
    </w:tbl>
    <w:p w:rsidR="0098252C" w:rsidRDefault="0098252C" w:rsidP="00BE54E9"/>
    <w:p w:rsidR="0098252C" w:rsidRPr="00643474" w:rsidRDefault="0098252C" w:rsidP="0098252C">
      <w:pPr>
        <w:pStyle w:val="Heading3"/>
        <w:numPr>
          <w:ilvl w:val="0"/>
          <w:numId w:val="0"/>
        </w:numPr>
      </w:pPr>
      <w:bookmarkStart w:id="2" w:name="_Toc430700668"/>
      <w:r w:rsidRPr="00643474">
        <w:t>Aandachtspunten bij invullen ICALT observatie instrument</w:t>
      </w:r>
      <w:bookmarkEnd w:id="2"/>
    </w:p>
    <w:p w:rsidR="0098252C" w:rsidRDefault="0098252C" w:rsidP="0098252C">
      <w:pPr>
        <w:spacing w:after="0" w:line="240" w:lineRule="auto"/>
        <w:rPr>
          <w:b/>
        </w:rPr>
      </w:pPr>
    </w:p>
    <w:p w:rsidR="0098252C" w:rsidRDefault="0098252C" w:rsidP="0098252C">
      <w:pPr>
        <w:spacing w:after="0" w:line="360" w:lineRule="auto"/>
        <w:rPr>
          <w:b/>
        </w:rPr>
      </w:pPr>
      <w:r>
        <w:rPr>
          <w:b/>
        </w:rPr>
        <w:t>Uitleg scores</w:t>
      </w:r>
      <w:r>
        <w:rPr>
          <w:rStyle w:val="FootnoteReference"/>
          <w:b/>
        </w:rPr>
        <w:footnoteReference w:id="1"/>
      </w:r>
    </w:p>
    <w:p w:rsidR="0098252C" w:rsidRDefault="0098252C" w:rsidP="0098252C">
      <w:pPr>
        <w:spacing w:after="0" w:line="360" w:lineRule="auto"/>
        <w:rPr>
          <w:b/>
        </w:rPr>
      </w:pPr>
    </w:p>
    <w:p w:rsidR="0098252C" w:rsidRDefault="0098252C" w:rsidP="0098252C">
      <w:pPr>
        <w:spacing w:after="0" w:line="360" w:lineRule="auto"/>
        <w:rPr>
          <w:b/>
        </w:rPr>
      </w:pPr>
      <w:r>
        <w:rPr>
          <w:b/>
        </w:rPr>
        <w:t>Kijkindicatoren/concrete gedragingen (rechts op formulier)</w:t>
      </w:r>
    </w:p>
    <w:p w:rsidR="0098252C" w:rsidRPr="000E619C" w:rsidRDefault="0098252C" w:rsidP="0098252C">
      <w:pPr>
        <w:spacing w:after="0" w:line="360" w:lineRule="auto"/>
      </w:pPr>
      <w:r w:rsidRPr="000E619C">
        <w:lastRenderedPageBreak/>
        <w:t>0 (in de app: nee)=</w:t>
      </w:r>
      <w:r>
        <w:t xml:space="preserve"> </w:t>
      </w:r>
      <w:r w:rsidRPr="000E619C">
        <w:t>niet waargenomen</w:t>
      </w:r>
    </w:p>
    <w:p w:rsidR="0098252C" w:rsidRDefault="0098252C" w:rsidP="0098252C">
      <w:pPr>
        <w:spacing w:after="0" w:line="360" w:lineRule="auto"/>
      </w:pPr>
      <w:r w:rsidRPr="000E619C">
        <w:t>1 (in de app: ja) = waargenomen</w:t>
      </w:r>
    </w:p>
    <w:p w:rsidR="0098252C" w:rsidRDefault="0098252C" w:rsidP="0098252C">
      <w:pPr>
        <w:spacing w:after="0" w:line="360" w:lineRule="auto"/>
      </w:pPr>
    </w:p>
    <w:p w:rsidR="0098252C" w:rsidRPr="000E619C" w:rsidRDefault="0098252C" w:rsidP="0098252C">
      <w:pPr>
        <w:spacing w:after="0" w:line="360" w:lineRule="auto"/>
      </w:pPr>
      <w:r>
        <w:t>De kijkindicatoren zijn niet verplicht om in te vullen. Wij raden echter sterk aan deze altijd te bekijken in uw afweging om een item te scoren. Door gebruik te maken van de kijkindicatoren richten observatoren tijdens de observatie de aandacht op dezelfde concrete gedragingen. Hierdoor worden de scores onafhankelijk(er) van de observant. De kijkindicatoren zijn niet volledig; het zijn enkele voorbeelden van concrete gedragingen die bij het betreffende item horen.</w:t>
      </w:r>
    </w:p>
    <w:p w:rsidR="0098252C" w:rsidRDefault="0098252C" w:rsidP="0098252C">
      <w:pPr>
        <w:spacing w:after="0" w:line="360" w:lineRule="auto"/>
        <w:rPr>
          <w:b/>
        </w:rPr>
      </w:pPr>
    </w:p>
    <w:p w:rsidR="0098252C" w:rsidRDefault="0098252C" w:rsidP="0098252C">
      <w:pPr>
        <w:spacing w:after="0" w:line="360" w:lineRule="auto"/>
        <w:rPr>
          <w:b/>
        </w:rPr>
      </w:pPr>
      <w:r>
        <w:rPr>
          <w:b/>
        </w:rPr>
        <w:t>Items (midden van het formulier)</w:t>
      </w:r>
    </w:p>
    <w:p w:rsidR="0098252C" w:rsidRPr="000E619C" w:rsidRDefault="0098252C" w:rsidP="0098252C">
      <w:pPr>
        <w:spacing w:after="0" w:line="360" w:lineRule="auto"/>
      </w:pPr>
      <w:r w:rsidRPr="000E619C">
        <w:t>1=</w:t>
      </w:r>
      <w:r>
        <w:t xml:space="preserve"> overwegend zwak</w:t>
      </w:r>
    </w:p>
    <w:p w:rsidR="0098252C" w:rsidRPr="000E619C" w:rsidRDefault="0098252C" w:rsidP="0098252C">
      <w:pPr>
        <w:spacing w:after="0" w:line="360" w:lineRule="auto"/>
      </w:pPr>
      <w:r w:rsidRPr="000E619C">
        <w:t>2=</w:t>
      </w:r>
      <w:r>
        <w:t xml:space="preserve"> meer zwak dan sterk</w:t>
      </w:r>
    </w:p>
    <w:p w:rsidR="0098252C" w:rsidRPr="000E619C" w:rsidRDefault="0098252C" w:rsidP="0098252C">
      <w:pPr>
        <w:spacing w:after="0" w:line="360" w:lineRule="auto"/>
      </w:pPr>
      <w:r w:rsidRPr="000E619C">
        <w:t>3=</w:t>
      </w:r>
      <w:r>
        <w:t xml:space="preserve"> meer sterk dan zwak</w:t>
      </w:r>
    </w:p>
    <w:p w:rsidR="0098252C" w:rsidRPr="000E619C" w:rsidRDefault="0098252C" w:rsidP="0098252C">
      <w:pPr>
        <w:spacing w:after="0" w:line="360" w:lineRule="auto"/>
      </w:pPr>
      <w:r w:rsidRPr="000E619C">
        <w:t>4=</w:t>
      </w:r>
      <w:r>
        <w:t xml:space="preserve"> overwegend sterk</w:t>
      </w:r>
    </w:p>
    <w:p w:rsidR="0098252C" w:rsidRDefault="0098252C" w:rsidP="0098252C">
      <w:pPr>
        <w:spacing w:after="0" w:line="360" w:lineRule="auto"/>
        <w:rPr>
          <w:b/>
        </w:rPr>
      </w:pPr>
    </w:p>
    <w:p w:rsidR="0098252C" w:rsidRPr="00643474" w:rsidRDefault="0098252C" w:rsidP="0098252C">
      <w:pPr>
        <w:spacing w:after="0" w:line="360" w:lineRule="auto"/>
        <w:rPr>
          <w:b/>
        </w:rPr>
      </w:pPr>
      <w:r>
        <w:t xml:space="preserve">De score op een item is </w:t>
      </w:r>
      <w:r w:rsidRPr="00643474">
        <w:rPr>
          <w:u w:val="single"/>
        </w:rPr>
        <w:t>niet hetzelfde</w:t>
      </w:r>
      <w:r>
        <w:rPr>
          <w:u w:val="single"/>
        </w:rPr>
        <w:t xml:space="preserve"> </w:t>
      </w:r>
      <w:r>
        <w:t xml:space="preserve">als de optelsom van de verschillende kijkindicatoren die horen bij het betreffende item. De </w:t>
      </w:r>
      <w:r w:rsidRPr="00C75062">
        <w:t>kijkindicatoren richten de aandacht op het juiste gedrag</w:t>
      </w:r>
      <w:r>
        <w:t xml:space="preserve"> en geven een eerste idee van een mogelijke score op het item. Echter vindt hier een eigen afweging en vertaling plaats van de frequentie en kwaliteit van het geconstateerde gedrag van de docent naar een score van 1,2, 3 of 4 op het item. De leidende vraag is steeds: ‘is dit goed genoeg?’  </w:t>
      </w:r>
    </w:p>
    <w:p w:rsidR="0098252C" w:rsidRPr="003961E7" w:rsidRDefault="0098252C" w:rsidP="0098252C">
      <w:pPr>
        <w:spacing w:after="0" w:line="360" w:lineRule="auto"/>
        <w:rPr>
          <w:b/>
        </w:rPr>
      </w:pPr>
      <w:r w:rsidRPr="003961E7">
        <w:rPr>
          <w:b/>
        </w:rPr>
        <w:t>Gedrag niet gezien</w:t>
      </w:r>
    </w:p>
    <w:p w:rsidR="0098252C" w:rsidRDefault="0098252C" w:rsidP="0098252C">
      <w:pPr>
        <w:spacing w:after="0" w:line="360" w:lineRule="auto"/>
      </w:pPr>
      <w:r w:rsidRPr="003961E7">
        <w:t>De regel is</w:t>
      </w:r>
      <w:r>
        <w:t xml:space="preserve"> indien u gedrag niet heeft waargenomen, een </w:t>
      </w:r>
      <w:r w:rsidRPr="003961E7">
        <w:rPr>
          <w:bdr w:val="single" w:sz="4" w:space="0" w:color="auto"/>
        </w:rPr>
        <w:t>1</w:t>
      </w:r>
      <w:r>
        <w:t xml:space="preserve"> 2 3 4 in te vullen. U heeft geen gedragingen gezien die horen bij het betreffende item. Op basis van de observatie van de betreffende les aangeven met een 2,3, of 4 dat de vaardigheid er al wel (deels) is klopt dan niet. Het kan zijn dat het gedurende de geobserveerde les niet nodig was de betreffende gedragingen te laten zien. In dit geval kunt u in het nagesprek van de observatie uitleggen dat een 1 betekent dat u het niet gezien heeft, dan wel gemist, dan wel de vaardigheid nog niet voldoende vond.</w:t>
      </w:r>
    </w:p>
    <w:p w:rsidR="0098252C" w:rsidRPr="003A0A91" w:rsidRDefault="0098252C" w:rsidP="0098252C">
      <w:pPr>
        <w:spacing w:after="0" w:line="360" w:lineRule="auto"/>
      </w:pPr>
      <w:r>
        <w:t xml:space="preserve"> </w:t>
      </w:r>
      <w:r>
        <w:tab/>
        <w:t xml:space="preserve">Uitzondering op deze regels zijn de items 1 t/m 4. Deze items horen bij het domein ‘veilig en stimulerend leerklimaat’. Het kan zijn dat de betreffende docent het veilige en stimulerende leerklimaat in de periode voorafgaande aan de observatie al bewerkstelligd heeft waardoor hij/zij bepaald gedrag niet meer hoeft te vertonen. Wanneer u sterk de indruk hebt dat dit het geval is, mag u </w:t>
      </w:r>
      <w:r w:rsidRPr="003F1A28">
        <w:rPr>
          <w:u w:val="single"/>
        </w:rPr>
        <w:t>alleen op dit domein</w:t>
      </w:r>
      <w:r>
        <w:t xml:space="preserve"> toch een 3 of een 4 scoren, ook wanneer u de concrete gedragingen niet gezien hebt. Het is dan vooral belangrijk dat u geen schendingen van een veilig leerklimaat gezien hebt.    </w:t>
      </w:r>
    </w:p>
    <w:p w:rsidR="0098252C" w:rsidRDefault="0098252C" w:rsidP="0098252C">
      <w:pPr>
        <w:spacing w:after="0" w:line="360" w:lineRule="auto"/>
        <w:rPr>
          <w:b/>
        </w:rPr>
      </w:pPr>
    </w:p>
    <w:p w:rsidR="0098252C" w:rsidRPr="003961E7" w:rsidRDefault="0098252C" w:rsidP="0098252C">
      <w:pPr>
        <w:spacing w:after="0" w:line="360" w:lineRule="auto"/>
        <w:rPr>
          <w:b/>
        </w:rPr>
      </w:pPr>
      <w:r w:rsidRPr="003961E7">
        <w:rPr>
          <w:b/>
        </w:rPr>
        <w:t>Twijfel</w:t>
      </w:r>
    </w:p>
    <w:p w:rsidR="0098252C" w:rsidRDefault="0098252C" w:rsidP="0098252C">
      <w:pPr>
        <w:spacing w:after="0" w:line="360" w:lineRule="auto"/>
      </w:pPr>
      <w:r w:rsidRPr="003961E7">
        <w:t xml:space="preserve">Bij twijfel tussen 2 of 3, kies altijd voor </w:t>
      </w:r>
      <w:r>
        <w:t xml:space="preserve">1 </w:t>
      </w:r>
      <w:r w:rsidRPr="000E619C">
        <w:rPr>
          <w:bdr w:val="single" w:sz="4" w:space="0" w:color="auto"/>
        </w:rPr>
        <w:t>2</w:t>
      </w:r>
      <w:r>
        <w:t xml:space="preserve"> 3 4. Wanneer u lang moet nadenken over een score 2 of 3 bent u er kennelijk nog niet van overtuigd dat de betreffende vaardigheid beheerst wordt door de geobserveerde docent. In het nagesprek kunt u deze twijfel met de docent bespreken. Ook bij twijfel tussen andere scores moet u de laagste score aanhouden. Twee scores omcirkelen is niet toegestaan.  </w:t>
      </w:r>
    </w:p>
    <w:p w:rsidR="0098252C" w:rsidRDefault="0098252C" w:rsidP="0098252C">
      <w:pPr>
        <w:spacing w:after="0" w:line="360" w:lineRule="auto"/>
        <w:rPr>
          <w:b/>
        </w:rPr>
      </w:pPr>
    </w:p>
    <w:p w:rsidR="0098252C" w:rsidRPr="000E619C" w:rsidRDefault="0098252C" w:rsidP="0098252C">
      <w:pPr>
        <w:spacing w:after="0" w:line="360" w:lineRule="auto"/>
        <w:rPr>
          <w:b/>
        </w:rPr>
      </w:pPr>
      <w:r w:rsidRPr="000E619C">
        <w:rPr>
          <w:b/>
        </w:rPr>
        <w:t>Objectiviteit en eigen overtuigingen</w:t>
      </w:r>
    </w:p>
    <w:p w:rsidR="0098252C" w:rsidRDefault="0098252C" w:rsidP="0098252C">
      <w:pPr>
        <w:spacing w:after="0" w:line="360" w:lineRule="auto"/>
      </w:pPr>
      <w:r>
        <w:t>Kijk door de bril van de items naar gedrag en niet (alleen) door de eigen bril van wat goed onderwijs is.</w:t>
      </w:r>
      <w:r w:rsidRPr="003A4E07">
        <w:t xml:space="preserve"> </w:t>
      </w:r>
      <w:r>
        <w:t>Het is belangrijk uw eventuele  algemene positieve of negatieve indruk van een docent uit te schakelen. Probeer uw (on)genoegen niet op alle domeinen te projecteren. Kijk goed naar het domein en de concrete gedragingen die bij ieder item horen. Er zijn niet veel docenten die alles goed of slecht doen! Wanneer u bijvoorbeeld met in uw achterhoofd ‘ik vind deze docent goed’ gaat scoren, kan het voorkomen dat uw scores op de items hierdoor beïnvloed worden. Wij vragen u echter steeds per item te kijken of het gedrag wel of niet aanwezig is en niet naar een algemene beoordeling van de betreffende docent.</w:t>
      </w:r>
    </w:p>
    <w:p w:rsidR="0098252C" w:rsidRDefault="0098252C" w:rsidP="0098252C">
      <w:pPr>
        <w:spacing w:after="0" w:line="360" w:lineRule="auto"/>
      </w:pPr>
      <w:r>
        <w:t>Kijk uit voor het door elkaar halen van items. Het ICALT instrument helpt docentgedrag te concretiseren. Tegelijkertijd is het soms lastig items te interpreteren. De domeinen, de daar binnenvallende items en de aan de items gekoppelde kijkindicatoren  hangen met elkaar samen. Door ze allemaal te gebruiken en alles te interpreteren binnen de context van het betreffende domein of item,  is de kans groter objectief te blijven en de items van elkaar gescheiden te houden. Dit voorkomt dubbel (on)voldoende geven voor hetzelfde gedrag.</w:t>
      </w:r>
    </w:p>
    <w:p w:rsidR="0098252C" w:rsidRDefault="0098252C">
      <w:pPr>
        <w:rPr>
          <w:i/>
        </w:rPr>
      </w:pPr>
    </w:p>
    <w:p w:rsidR="0098252C" w:rsidRPr="00B77C9F" w:rsidRDefault="0098252C" w:rsidP="0098252C">
      <w:pPr>
        <w:spacing w:after="0" w:line="360" w:lineRule="auto"/>
        <w:ind w:left="708"/>
        <w:rPr>
          <w:i/>
        </w:rPr>
      </w:pPr>
      <w:r w:rsidRPr="00B77C9F">
        <w:rPr>
          <w:i/>
        </w:rPr>
        <w:t>Voorbeeld</w:t>
      </w:r>
      <w:r>
        <w:rPr>
          <w:i/>
        </w:rPr>
        <w:t xml:space="preserve"> 1</w:t>
      </w:r>
    </w:p>
    <w:p w:rsidR="0098252C" w:rsidRDefault="0098252C" w:rsidP="0098252C">
      <w:pPr>
        <w:spacing w:after="0" w:line="360" w:lineRule="auto"/>
        <w:ind w:left="708"/>
      </w:pPr>
      <w:r>
        <w:t>Bij item 7 ‘… gebruikt de leertijd efficiënt’, staat de kijkindicator: de lesmaterialen zijn afgestemd op het niveau en de ontwikkeling van de leerling. Item 7 valt onder het domein ‘efficiënte lesorganisatie’.</w:t>
      </w:r>
    </w:p>
    <w:p w:rsidR="0098252C" w:rsidRDefault="0098252C" w:rsidP="0098252C">
      <w:pPr>
        <w:spacing w:after="0" w:line="360" w:lineRule="auto"/>
        <w:ind w:left="708"/>
      </w:pPr>
      <w:r>
        <w:t>Deze kijkindicator heeft hier een andere betekenis dan wanneer het bij ‘afstemmen op verschillen’ zou staan. Bij item 7 gaat het om efficiënte lesorganisatie: dit is op klassenniveau. Bijvoorbeeld: is de stof uitdagend genoeg voor dit niveau (bijvoorbeeld havo 2)?</w:t>
      </w:r>
    </w:p>
    <w:p w:rsidR="0098252C" w:rsidRDefault="0098252C" w:rsidP="0098252C">
      <w:pPr>
        <w:spacing w:after="0" w:line="360" w:lineRule="auto"/>
        <w:ind w:left="708"/>
      </w:pPr>
    </w:p>
    <w:p w:rsidR="0098252C" w:rsidRDefault="0098252C" w:rsidP="0098252C">
      <w:pPr>
        <w:spacing w:after="0" w:line="360" w:lineRule="auto"/>
        <w:ind w:left="708"/>
      </w:pPr>
    </w:p>
    <w:p w:rsidR="0098252C" w:rsidRDefault="0098252C" w:rsidP="0098252C">
      <w:pPr>
        <w:spacing w:after="0" w:line="360" w:lineRule="auto"/>
        <w:ind w:left="708"/>
      </w:pPr>
    </w:p>
    <w:p w:rsidR="0098252C" w:rsidRPr="00B77C9F" w:rsidRDefault="0098252C" w:rsidP="0098252C">
      <w:pPr>
        <w:spacing w:after="0" w:line="360" w:lineRule="auto"/>
        <w:ind w:left="708"/>
        <w:rPr>
          <w:i/>
        </w:rPr>
      </w:pPr>
      <w:r w:rsidRPr="00B77C9F">
        <w:rPr>
          <w:i/>
        </w:rPr>
        <w:t>Voorbeeld 2</w:t>
      </w:r>
    </w:p>
    <w:p w:rsidR="0098252C" w:rsidRDefault="0098252C" w:rsidP="0098252C">
      <w:pPr>
        <w:spacing w:after="0" w:line="360" w:lineRule="auto"/>
        <w:ind w:left="708"/>
      </w:pPr>
      <w:r>
        <w:t>Item 10 heeft betrekking op feedback geven aan de leerlingen. Dit item staat onder ‘duidelijke en gestructureerde instructie’. Het gaat erom of de docent helder maakt of een antwoord goed is of niet, waarom dat zo is en dat de docent feedback geeft op de wijze waarop leerlingen tot hun antwoord komen.</w:t>
      </w:r>
    </w:p>
    <w:p w:rsidR="0098252C" w:rsidRDefault="0098252C" w:rsidP="0098252C">
      <w:pPr>
        <w:spacing w:after="0" w:line="360" w:lineRule="auto"/>
        <w:ind w:left="708"/>
      </w:pPr>
      <w:r>
        <w:t>Stel dat de docent dit wel doet, maar de feedback op negatieve wijze terugkoppelt, dan ligt het punt voor ontwikkeling wellicht niet bij item 10 ‘… geeft feedback op de leerlingen’, maar bij item 2 ‘… zorgt voor een ontspannen sfeer’ of item 3 ‘… ondersteunt het zelfvertrouwen van leerlingen’.</w:t>
      </w:r>
    </w:p>
    <w:p w:rsidR="0098252C" w:rsidRDefault="0098252C" w:rsidP="0098252C">
      <w:pPr>
        <w:spacing w:after="0" w:line="360" w:lineRule="auto"/>
      </w:pPr>
    </w:p>
    <w:p w:rsidR="0098252C" w:rsidRPr="000E619C" w:rsidRDefault="0098252C" w:rsidP="0098252C">
      <w:pPr>
        <w:spacing w:after="0" w:line="360" w:lineRule="auto"/>
        <w:rPr>
          <w:b/>
        </w:rPr>
      </w:pPr>
      <w:r w:rsidRPr="000E619C">
        <w:rPr>
          <w:b/>
        </w:rPr>
        <w:t xml:space="preserve">Waken voor </w:t>
      </w:r>
      <w:r>
        <w:rPr>
          <w:b/>
        </w:rPr>
        <w:t>een ‘opleiders’ perspectief</w:t>
      </w:r>
    </w:p>
    <w:p w:rsidR="0098252C" w:rsidRDefault="0098252C" w:rsidP="0098252C">
      <w:pPr>
        <w:spacing w:after="0" w:line="360" w:lineRule="auto"/>
      </w:pPr>
      <w:r>
        <w:t xml:space="preserve">Het is belangrijk </w:t>
      </w:r>
      <w:r w:rsidRPr="003A4E07">
        <w:rPr>
          <w:u w:val="single"/>
        </w:rPr>
        <w:t>absoluut</w:t>
      </w:r>
      <w:r>
        <w:t xml:space="preserve"> te scoren. Hiermee bedoelen we dat u ieder item alleen scoort op basis van wat u wel of niet hebt gezien.</w:t>
      </w:r>
      <w:r w:rsidRPr="00B43347">
        <w:t xml:space="preserve"> </w:t>
      </w:r>
      <w:r>
        <w:t>Dit staat tegenover relatief scoren, waarbij u bijvoorbeeld scoort in hoeverre u het gedrag van de geobserveerde docent goed genoeg vindt gegeven zijn ervaring.  Dit is absoluut niet de bedoeling. Een voorbeeld is het observeren van een beginnende leraar. Wellicht laat de beginnende leraar voor een beginner een geweldige les zien, maar scoort hij of zij nog wel veel enen en tweeën.</w:t>
      </w:r>
      <w:r w:rsidRPr="00B43347">
        <w:t xml:space="preserve"> </w:t>
      </w:r>
      <w:r>
        <w:t xml:space="preserve">Wanneer u van zichzelf weet dat u ten opzichte van collega’s vaak positiever dan wel negatiever scoort kunt u hier rekening mee houden. </w:t>
      </w:r>
    </w:p>
    <w:p w:rsidR="0098252C" w:rsidRDefault="0098252C" w:rsidP="0098252C">
      <w:pPr>
        <w:spacing w:after="0" w:line="360" w:lineRule="auto"/>
      </w:pPr>
      <w:r>
        <w:t xml:space="preserve"> </w:t>
      </w:r>
      <w:r>
        <w:tab/>
        <w:t xml:space="preserve">Ook moet u waken voor te ‘zachte’ of te ‘kritische’ oordelen. Indien u tijdens de training merkt dat u telkens hoger of lager scoort dan anderen moet u zich afvragen of u niet te ‘zacht’ of te ‘kritisch’ oordeelt. Misschien heeft u een voorkeur voor mannen/vrouwen, jong/oud, onderbouw/bovenbouw, vak of lesgeefstijl. Bewustwording hiervan is nodig gevolgd door bijstelling.  </w:t>
      </w:r>
    </w:p>
    <w:p w:rsidR="0098252C" w:rsidRDefault="0098252C" w:rsidP="0098252C">
      <w:pPr>
        <w:spacing w:after="0" w:line="360" w:lineRule="auto"/>
      </w:pPr>
    </w:p>
    <w:p w:rsidR="0098252C" w:rsidRDefault="0098252C" w:rsidP="0098252C">
      <w:pPr>
        <w:spacing w:after="0" w:line="360" w:lineRule="auto"/>
      </w:pPr>
      <w:r w:rsidRPr="003A43E8">
        <w:rPr>
          <w:b/>
        </w:rPr>
        <w:t>Oefening baart kunst</w:t>
      </w:r>
      <w:r>
        <w:rPr>
          <w:b/>
        </w:rPr>
        <w:br/>
      </w:r>
      <w:r w:rsidRPr="003A43E8">
        <w:t xml:space="preserve">Bekendheid met het instrument maakt het observeren makkelijker. Hierdoor weet u op een gegeven moment precies waar welk gedrag gescoord dient te worden. Wij raden aan een aantal keren te oefenen met het instrument voordat het als ‘echte’ observatie gaat tellen. Door in tweetallen te oefenen </w:t>
      </w:r>
      <w:r>
        <w:t>kunt u elkaar van feedback voor</w:t>
      </w:r>
      <w:r w:rsidRPr="003A43E8">
        <w:t xml:space="preserve">zien en kijken of uw oordelen in lijn met elkaar liggen. </w:t>
      </w:r>
    </w:p>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52C" w:rsidRDefault="0098252C" w:rsidP="0098252C">
      <w:pPr>
        <w:spacing w:after="0" w:line="240" w:lineRule="auto"/>
      </w:pPr>
      <w:r>
        <w:separator/>
      </w:r>
    </w:p>
  </w:endnote>
  <w:endnote w:type="continuationSeparator" w:id="0">
    <w:p w:rsidR="0098252C" w:rsidRDefault="0098252C" w:rsidP="0098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52C" w:rsidRDefault="0098252C" w:rsidP="0098252C">
      <w:pPr>
        <w:spacing w:after="0" w:line="240" w:lineRule="auto"/>
      </w:pPr>
      <w:r>
        <w:separator/>
      </w:r>
    </w:p>
  </w:footnote>
  <w:footnote w:type="continuationSeparator" w:id="0">
    <w:p w:rsidR="0098252C" w:rsidRDefault="0098252C" w:rsidP="0098252C">
      <w:pPr>
        <w:spacing w:after="0" w:line="240" w:lineRule="auto"/>
      </w:pPr>
      <w:r>
        <w:continuationSeparator/>
      </w:r>
    </w:p>
  </w:footnote>
  <w:footnote w:id="1">
    <w:p w:rsidR="0098252C" w:rsidRPr="00B12EE8" w:rsidRDefault="0098252C" w:rsidP="0098252C">
      <w:pPr>
        <w:pStyle w:val="FootnoteText"/>
      </w:pPr>
      <w:r>
        <w:rPr>
          <w:rStyle w:val="FootnoteReference"/>
        </w:rPr>
        <w:footnoteRef/>
      </w:r>
      <w:r>
        <w:t xml:space="preserve"> </w:t>
      </w:r>
      <w:r w:rsidRPr="00B12EE8">
        <w:t>Om verwarring met de 1 van de kijkindicatoren en de 1 van d</w:t>
      </w:r>
      <w:r>
        <w:t>e items te voorkomen, schrijven wij de aan te vinken opties (respectievelijk: 0 1  en 1 2 3 4) volledig uit.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0FF02EAA"/>
    <w:multiLevelType w:val="hybridMultilevel"/>
    <w:tmpl w:val="48763B66"/>
    <w:lvl w:ilvl="0" w:tplc="FA02E9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8A0A89"/>
    <w:multiLevelType w:val="hybridMultilevel"/>
    <w:tmpl w:val="B616FB82"/>
    <w:lvl w:ilvl="0" w:tplc="66A4FC1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2C"/>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E69D6"/>
    <w:rsid w:val="00304C08"/>
    <w:rsid w:val="003653FC"/>
    <w:rsid w:val="003675D1"/>
    <w:rsid w:val="00377E13"/>
    <w:rsid w:val="00390AD6"/>
    <w:rsid w:val="003C18A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209F"/>
    <w:rsid w:val="009463C4"/>
    <w:rsid w:val="00956123"/>
    <w:rsid w:val="00960EAB"/>
    <w:rsid w:val="00971471"/>
    <w:rsid w:val="00972E2E"/>
    <w:rsid w:val="00977683"/>
    <w:rsid w:val="0098252C"/>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0E58"/>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18B2"/>
  <w15:docId w15:val="{06D8FE7E-0793-4D99-A370-87E3FFF5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52C"/>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825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8252C"/>
    <w:rPr>
      <w:rFonts w:eastAsiaTheme="minorEastAsia"/>
      <w:lang w:val="en-US" w:eastAsia="ja-JP"/>
    </w:rPr>
  </w:style>
  <w:style w:type="table" w:styleId="TableGrid">
    <w:name w:val="Table Grid"/>
    <w:basedOn w:val="TableNormal"/>
    <w:uiPriority w:val="59"/>
    <w:rsid w:val="009825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2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52C"/>
    <w:rPr>
      <w:rFonts w:eastAsiaTheme="minorHAnsi"/>
      <w:sz w:val="20"/>
      <w:szCs w:val="20"/>
    </w:rPr>
  </w:style>
  <w:style w:type="character" w:styleId="FootnoteReference">
    <w:name w:val="footnote reference"/>
    <w:basedOn w:val="DefaultParagraphFont"/>
    <w:uiPriority w:val="99"/>
    <w:semiHidden/>
    <w:unhideWhenUsed/>
    <w:rsid w:val="00982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4712512C</Template>
  <TotalTime>0</TotalTime>
  <Pages>5</Pages>
  <Words>1466</Words>
  <Characters>8068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2018-11-28T11:05:00Z</dcterms:created>
  <dcterms:modified xsi:type="dcterms:W3CDTF">2018-11-28T11:05:00Z</dcterms:modified>
</cp:coreProperties>
</file>